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8DCD" w14:textId="77777777" w:rsidR="0064067D" w:rsidRPr="0064067D" w:rsidRDefault="0064067D" w:rsidP="0064067D">
      <w:pPr>
        <w:rPr>
          <w:rFonts w:asciiTheme="minorHAnsi" w:hAnsiTheme="minorHAnsi" w:cstheme="minorHAnsi"/>
          <w:b/>
          <w:bCs/>
          <w:color w:val="FF0000"/>
        </w:rPr>
      </w:pPr>
      <w:r w:rsidRPr="0064067D">
        <w:rPr>
          <w:rFonts w:asciiTheme="minorHAnsi" w:hAnsiTheme="minorHAnsi" w:cstheme="minorHAnsi"/>
          <w:b/>
          <w:bCs/>
          <w:color w:val="FF0000"/>
        </w:rPr>
        <w:t xml:space="preserve">Please ensure that you fill in details about upcoming benefit meetings and delete these </w:t>
      </w:r>
    </w:p>
    <w:p w14:paraId="6C26ECBA" w14:textId="77777777" w:rsidR="0064067D" w:rsidRPr="0064067D" w:rsidRDefault="0064067D" w:rsidP="0064067D">
      <w:pPr>
        <w:rPr>
          <w:rFonts w:asciiTheme="minorHAnsi" w:hAnsiTheme="minorHAnsi" w:cstheme="minorHAnsi"/>
          <w:b/>
          <w:bCs/>
          <w:color w:val="FF0000"/>
        </w:rPr>
      </w:pPr>
      <w:r w:rsidRPr="0064067D">
        <w:rPr>
          <w:rFonts w:asciiTheme="minorHAnsi" w:hAnsiTheme="minorHAnsi" w:cstheme="minorHAnsi"/>
          <w:b/>
          <w:bCs/>
          <w:color w:val="FF0000"/>
        </w:rPr>
        <w:t>instructions before sharing the flyer with your employees.</w:t>
      </w:r>
    </w:p>
    <w:p w14:paraId="102F8B40" w14:textId="79E2E854" w:rsidR="000006D0" w:rsidRPr="00A44B36" w:rsidRDefault="00A44B36" w:rsidP="005C5674">
      <w:pPr>
        <w:rPr>
          <w:rFonts w:asciiTheme="minorHAnsi" w:hAnsiTheme="minorHAnsi" w:cstheme="minorHAnsi"/>
        </w:rPr>
      </w:pPr>
      <w:r>
        <w:rPr>
          <w:noProof/>
        </w:rPr>
        <w:drawing>
          <wp:anchor distT="0" distB="0" distL="114300" distR="114300" simplePos="0" relativeHeight="251658240" behindDoc="1" locked="0" layoutInCell="1" allowOverlap="1" wp14:anchorId="1388F4C5" wp14:editId="4328E9A7">
            <wp:simplePos x="0" y="0"/>
            <wp:positionH relativeFrom="column">
              <wp:posOffset>4505325</wp:posOffset>
            </wp:positionH>
            <wp:positionV relativeFrom="paragraph">
              <wp:posOffset>22860</wp:posOffset>
            </wp:positionV>
            <wp:extent cx="2352675" cy="1524000"/>
            <wp:effectExtent l="0" t="0" r="9525" b="0"/>
            <wp:wrapTight wrapText="bothSides">
              <wp:wrapPolygon edited="0">
                <wp:start x="0" y="0"/>
                <wp:lineTo x="0" y="21330"/>
                <wp:lineTo x="21513" y="21330"/>
                <wp:lineTo x="21513" y="0"/>
                <wp:lineTo x="0" y="0"/>
              </wp:wrapPolygon>
            </wp:wrapTight>
            <wp:docPr id="2" name="Picture 1" descr="tax sav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x savings"/>
                    <pic:cNvPicPr>
                      <a:picLocks noChangeAspect="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352675" cy="1524000"/>
                    </a:xfrm>
                    <a:prstGeom prst="rect">
                      <a:avLst/>
                    </a:prstGeom>
                    <a:noFill/>
                    <a:ln>
                      <a:noFill/>
                    </a:ln>
                  </pic:spPr>
                </pic:pic>
              </a:graphicData>
            </a:graphic>
          </wp:anchor>
        </w:drawing>
      </w:r>
    </w:p>
    <w:p w14:paraId="1E75B680" w14:textId="19471B1A" w:rsidR="00A44B36" w:rsidRDefault="0064067D" w:rsidP="000006D0">
      <w:pPr>
        <w:rPr>
          <w:rFonts w:asciiTheme="minorHAnsi" w:hAnsiTheme="minorHAnsi" w:cstheme="minorHAnsi"/>
        </w:rPr>
      </w:pPr>
      <w:r w:rsidRPr="0064067D">
        <w:rPr>
          <w:rFonts w:asciiTheme="minorHAnsi" w:hAnsiTheme="minorHAnsi" w:cstheme="minorHAnsi"/>
        </w:rPr>
        <w:t>A health savings account (HSA) is a savings account that lets you set aside money on a pre-tax basis to pay for qualified medical expenses and/or future health care expenses like those incurred in retirement. With an HSA, you save approximately 30%* on your eligible expenses, making a $1,000 expense cost you about $700. You get these savings because the contributions you make to your HSA are exempt from Federal, State, and FICA payroll taxes.</w:t>
      </w:r>
    </w:p>
    <w:p w14:paraId="0F4214F1" w14:textId="77777777" w:rsidR="00A44B36" w:rsidRDefault="00A44B36" w:rsidP="000006D0">
      <w:pPr>
        <w:rPr>
          <w:rFonts w:asciiTheme="minorHAnsi" w:hAnsiTheme="minorHAnsi" w:cstheme="minorHAnsi"/>
        </w:rPr>
      </w:pPr>
    </w:p>
    <w:p w14:paraId="7DDD0798" w14:textId="3BA271D6" w:rsidR="00A44B36" w:rsidRDefault="00A44B36" w:rsidP="000006D0">
      <w:pPr>
        <w:rPr>
          <w:rFonts w:asciiTheme="minorHAnsi" w:hAnsiTheme="minorHAnsi" w:cstheme="minorHAnsi"/>
          <w:i/>
          <w:iCs/>
        </w:rPr>
      </w:pPr>
      <w:r w:rsidRPr="00A44B36">
        <w:rPr>
          <w:rFonts w:asciiTheme="minorHAnsi" w:hAnsiTheme="minorHAnsi" w:cstheme="minorHAnsi"/>
          <w:i/>
          <w:iCs/>
        </w:rPr>
        <w:t>*This tax example is a broad approximation of tax liability. Your specific savings depend on your tax bracket. Further, your contributions may be subject to state income tax in some states. You should consult a tax advisor for help with your own situation. Current IRS tax laws control all pre-tax payment and contribution matters and are subject to change.</w:t>
      </w:r>
    </w:p>
    <w:p w14:paraId="721D7CA8" w14:textId="77777777" w:rsidR="0064067D" w:rsidRDefault="0064067D" w:rsidP="000006D0">
      <w:pPr>
        <w:rPr>
          <w:rFonts w:asciiTheme="minorHAnsi" w:hAnsiTheme="minorHAnsi" w:cstheme="minorHAnsi"/>
          <w:i/>
          <w:iCs/>
        </w:rPr>
      </w:pPr>
    </w:p>
    <w:p w14:paraId="601150DF" w14:textId="77777777" w:rsidR="0064067D" w:rsidRPr="0064067D" w:rsidRDefault="0064067D" w:rsidP="0064067D">
      <w:pPr>
        <w:pStyle w:val="Heading2"/>
        <w:rPr>
          <w:color w:val="auto"/>
        </w:rPr>
      </w:pPr>
      <w:r w:rsidRPr="0064067D">
        <w:rPr>
          <w:color w:val="auto"/>
        </w:rPr>
        <w:t>HSA Options</w:t>
      </w:r>
    </w:p>
    <w:p w14:paraId="02661ACB" w14:textId="39CD3167" w:rsidR="0064067D" w:rsidRDefault="00E12512" w:rsidP="000006D0">
      <w:pPr>
        <w:rPr>
          <w:rFonts w:asciiTheme="minorHAnsi" w:hAnsiTheme="minorHAnsi" w:cstheme="minorHAnsi"/>
        </w:rPr>
      </w:pPr>
      <w:r w:rsidRPr="00E12512">
        <w:rPr>
          <w:rFonts w:asciiTheme="minorHAnsi" w:hAnsiTheme="minorHAnsi" w:cstheme="minorHAnsi"/>
        </w:rPr>
        <w:t>HSAs offer flexibility and planning beyond what you get with other benefits. Spend your HSA dollars when you need them, save your HSA dollars when you don’t have an immediate need, and invest some of your savings as your balance grows to see your money grow even faster.</w:t>
      </w:r>
    </w:p>
    <w:p w14:paraId="63CEF79F" w14:textId="46C13CD6" w:rsidR="00E12512" w:rsidRPr="00E12512" w:rsidRDefault="00E12512" w:rsidP="00E12512">
      <w:pPr>
        <w:pStyle w:val="ListParagraph"/>
        <w:numPr>
          <w:ilvl w:val="0"/>
          <w:numId w:val="8"/>
        </w:numPr>
        <w:rPr>
          <w:rFonts w:asciiTheme="minorHAnsi" w:hAnsiTheme="minorHAnsi" w:cstheme="minorHAnsi"/>
        </w:rPr>
      </w:pPr>
      <w:r w:rsidRPr="00E12512">
        <w:rPr>
          <w:rFonts w:asciiTheme="minorHAnsi" w:hAnsiTheme="minorHAnsi" w:cstheme="minorHAnsi"/>
          <w:b/>
          <w:bCs/>
        </w:rPr>
        <w:t>Spend</w:t>
      </w:r>
      <w:r>
        <w:rPr>
          <w:rFonts w:asciiTheme="minorHAnsi" w:hAnsiTheme="minorHAnsi" w:cstheme="minorHAnsi"/>
          <w:b/>
          <w:bCs/>
        </w:rPr>
        <w:t xml:space="preserve">: </w:t>
      </w:r>
      <w:r w:rsidRPr="00E12512">
        <w:rPr>
          <w:rFonts w:asciiTheme="minorHAnsi" w:hAnsiTheme="minorHAnsi" w:cstheme="minorHAnsi"/>
        </w:rPr>
        <w:t xml:space="preserve">Use funds on a tax-free basis to pay for </w:t>
      </w:r>
      <w:hyperlink r:id="rId6" w:tgtFrame="_blank" w:history="1">
        <w:r w:rsidRPr="00E12512">
          <w:rPr>
            <w:rStyle w:val="Hyperlink"/>
            <w:rFonts w:asciiTheme="minorHAnsi" w:hAnsiTheme="minorHAnsi" w:cstheme="minorHAnsi"/>
          </w:rPr>
          <w:t>eligibl</w:t>
        </w:r>
        <w:r w:rsidRPr="00E12512">
          <w:rPr>
            <w:rStyle w:val="Hyperlink"/>
            <w:rFonts w:asciiTheme="minorHAnsi" w:hAnsiTheme="minorHAnsi" w:cstheme="minorHAnsi"/>
          </w:rPr>
          <w:t>e</w:t>
        </w:r>
        <w:r w:rsidRPr="00E12512">
          <w:rPr>
            <w:rStyle w:val="Hyperlink"/>
            <w:rFonts w:asciiTheme="minorHAnsi" w:hAnsiTheme="minorHAnsi" w:cstheme="minorHAnsi"/>
          </w:rPr>
          <w:t xml:space="preserve"> purchases</w:t>
        </w:r>
      </w:hyperlink>
      <w:r w:rsidRPr="00E12512">
        <w:rPr>
          <w:rFonts w:asciiTheme="minorHAnsi" w:hAnsiTheme="minorHAnsi" w:cstheme="minorHAnsi"/>
        </w:rPr>
        <w:t xml:space="preserve"> as they come up. For more information on where you can spend your HSA funds, visit </w:t>
      </w:r>
      <w:hyperlink r:id="rId7" w:tgtFrame="_blank" w:history="1">
        <w:r w:rsidRPr="00E12512">
          <w:rPr>
            <w:rStyle w:val="Hyperlink"/>
            <w:rFonts w:asciiTheme="minorHAnsi" w:hAnsiTheme="minorHAnsi" w:cstheme="minorHAnsi"/>
          </w:rPr>
          <w:t>ebcflex.com/</w:t>
        </w:r>
        <w:proofErr w:type="spellStart"/>
        <w:r w:rsidRPr="00E12512">
          <w:rPr>
            <w:rStyle w:val="Hyperlink"/>
            <w:rFonts w:asciiTheme="minorHAnsi" w:hAnsiTheme="minorHAnsi" w:cstheme="minorHAnsi"/>
          </w:rPr>
          <w:t>WheretoShop</w:t>
        </w:r>
        <w:proofErr w:type="spellEnd"/>
      </w:hyperlink>
    </w:p>
    <w:p w14:paraId="226130E5" w14:textId="7CE0B019" w:rsidR="00E12512" w:rsidRDefault="00BB2616" w:rsidP="00BB2616">
      <w:pPr>
        <w:pStyle w:val="ListParagraph"/>
        <w:numPr>
          <w:ilvl w:val="0"/>
          <w:numId w:val="8"/>
        </w:numPr>
        <w:rPr>
          <w:rFonts w:asciiTheme="minorHAnsi" w:hAnsiTheme="minorHAnsi" w:cstheme="minorHAnsi"/>
        </w:rPr>
      </w:pPr>
      <w:r w:rsidRPr="00BB2616">
        <w:rPr>
          <w:rFonts w:asciiTheme="minorHAnsi" w:hAnsiTheme="minorHAnsi" w:cstheme="minorHAnsi"/>
          <w:b/>
          <w:bCs/>
        </w:rPr>
        <w:t>Save</w:t>
      </w:r>
      <w:r>
        <w:rPr>
          <w:rFonts w:asciiTheme="minorHAnsi" w:hAnsiTheme="minorHAnsi" w:cstheme="minorHAnsi"/>
          <w:b/>
          <w:bCs/>
        </w:rPr>
        <w:t xml:space="preserve">: </w:t>
      </w:r>
      <w:r w:rsidRPr="00BB2616">
        <w:rPr>
          <w:rFonts w:asciiTheme="minorHAnsi" w:hAnsiTheme="minorHAnsi" w:cstheme="minorHAnsi"/>
        </w:rPr>
        <w:t xml:space="preserve">Put funds away for future expenses. Take advantage of a </w:t>
      </w:r>
      <w:hyperlink r:id="rId8" w:tgtFrame="_blank" w:history="1">
        <w:r w:rsidRPr="00BB2616">
          <w:rPr>
            <w:rStyle w:val="Hyperlink"/>
            <w:rFonts w:asciiTheme="minorHAnsi" w:hAnsiTheme="minorHAnsi" w:cstheme="minorHAnsi"/>
          </w:rPr>
          <w:t>high-</w:t>
        </w:r>
        <w:r w:rsidRPr="00BB2616">
          <w:rPr>
            <w:rStyle w:val="Hyperlink"/>
            <w:rFonts w:asciiTheme="minorHAnsi" w:hAnsiTheme="minorHAnsi" w:cstheme="minorHAnsi"/>
          </w:rPr>
          <w:t>y</w:t>
        </w:r>
        <w:r w:rsidRPr="00BB2616">
          <w:rPr>
            <w:rStyle w:val="Hyperlink"/>
            <w:rFonts w:asciiTheme="minorHAnsi" w:hAnsiTheme="minorHAnsi" w:cstheme="minorHAnsi"/>
          </w:rPr>
          <w:t>ield HSA</w:t>
        </w:r>
      </w:hyperlink>
      <w:r w:rsidRPr="00BB2616">
        <w:rPr>
          <w:rFonts w:asciiTheme="minorHAnsi" w:hAnsiTheme="minorHAnsi" w:cstheme="minorHAnsi"/>
        </w:rPr>
        <w:t>, which gives you the potential of a higher interest rate. </w:t>
      </w:r>
    </w:p>
    <w:p w14:paraId="29AAE33C" w14:textId="7EA5457A" w:rsidR="00BB2616" w:rsidRDefault="00BB2616" w:rsidP="00BB2616">
      <w:pPr>
        <w:pStyle w:val="ListParagraph"/>
        <w:numPr>
          <w:ilvl w:val="0"/>
          <w:numId w:val="8"/>
        </w:numPr>
        <w:rPr>
          <w:rFonts w:asciiTheme="minorHAnsi" w:hAnsiTheme="minorHAnsi" w:cstheme="minorHAnsi"/>
        </w:rPr>
      </w:pPr>
      <w:r w:rsidRPr="00BB2616">
        <w:rPr>
          <w:rFonts w:asciiTheme="minorHAnsi" w:hAnsiTheme="minorHAnsi" w:cstheme="minorHAnsi"/>
          <w:b/>
          <w:bCs/>
        </w:rPr>
        <w:t>Invest</w:t>
      </w:r>
      <w:r>
        <w:rPr>
          <w:rFonts w:asciiTheme="minorHAnsi" w:hAnsiTheme="minorHAnsi" w:cstheme="minorHAnsi"/>
          <w:b/>
          <w:bCs/>
        </w:rPr>
        <w:t xml:space="preserve">: </w:t>
      </w:r>
      <w:r w:rsidRPr="00BB2616">
        <w:rPr>
          <w:rFonts w:asciiTheme="minorHAnsi" w:hAnsiTheme="minorHAnsi" w:cstheme="minorHAnsi"/>
        </w:rPr>
        <w:t xml:space="preserve">Help support your financial wellness by </w:t>
      </w:r>
      <w:hyperlink r:id="rId9" w:tgtFrame="_blank" w:history="1">
        <w:r w:rsidRPr="00BB2616">
          <w:rPr>
            <w:rStyle w:val="Hyperlink"/>
            <w:rFonts w:asciiTheme="minorHAnsi" w:hAnsiTheme="minorHAnsi" w:cstheme="minorHAnsi"/>
          </w:rPr>
          <w:t>inv</w:t>
        </w:r>
        <w:r w:rsidRPr="00BB2616">
          <w:rPr>
            <w:rStyle w:val="Hyperlink"/>
            <w:rFonts w:asciiTheme="minorHAnsi" w:hAnsiTheme="minorHAnsi" w:cstheme="minorHAnsi"/>
          </w:rPr>
          <w:t>e</w:t>
        </w:r>
        <w:r w:rsidRPr="00BB2616">
          <w:rPr>
            <w:rStyle w:val="Hyperlink"/>
            <w:rFonts w:asciiTheme="minorHAnsi" w:hAnsiTheme="minorHAnsi" w:cstheme="minorHAnsi"/>
          </w:rPr>
          <w:t>sting funds</w:t>
        </w:r>
      </w:hyperlink>
      <w:r w:rsidRPr="00BB2616">
        <w:rPr>
          <w:rFonts w:asciiTheme="minorHAnsi" w:hAnsiTheme="minorHAnsi" w:cstheme="minorHAnsi"/>
        </w:rPr>
        <w:t xml:space="preserve"> for health emergencies or health costs incurred during retirement. </w:t>
      </w:r>
    </w:p>
    <w:p w14:paraId="5E97BFA3" w14:textId="77777777" w:rsidR="00E707F7" w:rsidRDefault="00E707F7" w:rsidP="00E707F7">
      <w:pPr>
        <w:rPr>
          <w:rFonts w:asciiTheme="minorHAnsi" w:hAnsiTheme="minorHAnsi" w:cstheme="minorHAnsi"/>
        </w:rPr>
      </w:pPr>
    </w:p>
    <w:p w14:paraId="59430FEE" w14:textId="6D611194" w:rsidR="00E707F7" w:rsidRDefault="00E707F7" w:rsidP="00E707F7">
      <w:pPr>
        <w:pStyle w:val="Heading2"/>
        <w:rPr>
          <w:color w:val="auto"/>
        </w:rPr>
      </w:pPr>
      <w:r w:rsidRPr="00E707F7">
        <w:rPr>
          <w:color w:val="auto"/>
        </w:rPr>
        <w:t>Next Steps</w:t>
      </w:r>
    </w:p>
    <w:p w14:paraId="63893821" w14:textId="77777777" w:rsidR="00E707F7" w:rsidRPr="00E707F7" w:rsidRDefault="00E707F7" w:rsidP="00E707F7">
      <w:pPr>
        <w:rPr>
          <w:rFonts w:asciiTheme="minorHAnsi" w:hAnsiTheme="minorHAnsi" w:cstheme="minorHAnsi"/>
        </w:rPr>
      </w:pPr>
      <w:r w:rsidRPr="00E707F7">
        <w:rPr>
          <w:rFonts w:asciiTheme="minorHAnsi" w:hAnsiTheme="minorHAnsi" w:cstheme="minorHAnsi"/>
          <w:b/>
          <w:bCs/>
        </w:rPr>
        <w:t>1. Attend the Upcoming Benefit Meeting</w:t>
      </w:r>
    </w:p>
    <w:p w14:paraId="656E3BAD" w14:textId="223B3331" w:rsidR="00E707F7" w:rsidRDefault="00E707F7" w:rsidP="00E707F7">
      <w:pPr>
        <w:rPr>
          <w:rFonts w:asciiTheme="minorHAnsi" w:hAnsiTheme="minorHAnsi" w:cstheme="minorHAnsi"/>
        </w:rPr>
      </w:pPr>
      <w:r w:rsidRPr="00E707F7">
        <w:rPr>
          <w:rFonts w:asciiTheme="minorHAnsi" w:hAnsiTheme="minorHAnsi" w:cstheme="minorHAnsi"/>
        </w:rPr>
        <w:t>Learn more about the value of an HSA by attending the upcoming benefit meeting on [date] at [time]. This will help you better understand the value of an HSA and if you want to enroll.</w:t>
      </w:r>
    </w:p>
    <w:p w14:paraId="7BE020F7" w14:textId="77777777" w:rsidR="00E707F7" w:rsidRDefault="00E707F7" w:rsidP="00E707F7">
      <w:pPr>
        <w:rPr>
          <w:rFonts w:asciiTheme="minorHAnsi" w:hAnsiTheme="minorHAnsi" w:cstheme="minorHAnsi"/>
        </w:rPr>
      </w:pPr>
    </w:p>
    <w:p w14:paraId="4C7FF428" w14:textId="77777777" w:rsidR="00E707F7" w:rsidRPr="00E707F7" w:rsidRDefault="00E707F7" w:rsidP="00E707F7">
      <w:pPr>
        <w:rPr>
          <w:rFonts w:asciiTheme="minorHAnsi" w:hAnsiTheme="minorHAnsi" w:cstheme="minorHAnsi"/>
        </w:rPr>
      </w:pPr>
      <w:r w:rsidRPr="00E707F7">
        <w:rPr>
          <w:rFonts w:asciiTheme="minorHAnsi" w:hAnsiTheme="minorHAnsi" w:cstheme="minorHAnsi"/>
          <w:b/>
          <w:bCs/>
        </w:rPr>
        <w:t>2. Consider Your Interest Options</w:t>
      </w:r>
    </w:p>
    <w:p w14:paraId="00B4F89D" w14:textId="01939E28" w:rsidR="00E707F7" w:rsidRDefault="00E707F7" w:rsidP="00E707F7">
      <w:pPr>
        <w:rPr>
          <w:rFonts w:asciiTheme="minorHAnsi" w:hAnsiTheme="minorHAnsi" w:cstheme="minorHAnsi"/>
        </w:rPr>
      </w:pPr>
      <w:r w:rsidRPr="00E707F7">
        <w:rPr>
          <w:rFonts w:asciiTheme="minorHAnsi" w:hAnsiTheme="minorHAnsi" w:cstheme="minorHAnsi"/>
        </w:rPr>
        <w:t xml:space="preserve">At EBC, there are two interest options for your HSA—a </w:t>
      </w:r>
      <w:r w:rsidRPr="00E707F7">
        <w:rPr>
          <w:rFonts w:asciiTheme="minorHAnsi" w:hAnsiTheme="minorHAnsi" w:cstheme="minorHAnsi"/>
          <w:b/>
          <w:bCs/>
        </w:rPr>
        <w:t>traditional interest option</w:t>
      </w:r>
      <w:r w:rsidRPr="00E707F7">
        <w:rPr>
          <w:rFonts w:asciiTheme="minorHAnsi" w:hAnsiTheme="minorHAnsi" w:cstheme="minorHAnsi"/>
        </w:rPr>
        <w:t xml:space="preserve"> or a </w:t>
      </w:r>
      <w:r w:rsidRPr="00E707F7">
        <w:rPr>
          <w:rFonts w:asciiTheme="minorHAnsi" w:hAnsiTheme="minorHAnsi" w:cstheme="minorHAnsi"/>
          <w:b/>
          <w:bCs/>
        </w:rPr>
        <w:t>high-yield interest option</w:t>
      </w:r>
      <w:r w:rsidRPr="00E707F7">
        <w:rPr>
          <w:rFonts w:asciiTheme="minorHAnsi" w:hAnsiTheme="minorHAnsi" w:cstheme="minorHAnsi"/>
        </w:rPr>
        <w:t xml:space="preserve">. You can change your interest option preference anytime through your online account. Learn more about </w:t>
      </w:r>
      <w:hyperlink r:id="rId10" w:tgtFrame="_blank" w:history="1">
        <w:r w:rsidRPr="00E707F7">
          <w:rPr>
            <w:rStyle w:val="Hyperlink"/>
            <w:rFonts w:asciiTheme="minorHAnsi" w:hAnsiTheme="minorHAnsi" w:cstheme="minorHAnsi"/>
          </w:rPr>
          <w:t>interest o</w:t>
        </w:r>
        <w:r w:rsidRPr="00E707F7">
          <w:rPr>
            <w:rStyle w:val="Hyperlink"/>
            <w:rFonts w:asciiTheme="minorHAnsi" w:hAnsiTheme="minorHAnsi" w:cstheme="minorHAnsi"/>
          </w:rPr>
          <w:t>p</w:t>
        </w:r>
        <w:r w:rsidRPr="00E707F7">
          <w:rPr>
            <w:rStyle w:val="Hyperlink"/>
            <w:rFonts w:asciiTheme="minorHAnsi" w:hAnsiTheme="minorHAnsi" w:cstheme="minorHAnsi"/>
          </w:rPr>
          <w:t>tions</w:t>
        </w:r>
      </w:hyperlink>
      <w:r w:rsidRPr="00E707F7">
        <w:rPr>
          <w:rFonts w:asciiTheme="minorHAnsi" w:hAnsiTheme="minorHAnsi" w:cstheme="minorHAnsi"/>
        </w:rPr>
        <w:t>.</w:t>
      </w:r>
    </w:p>
    <w:p w14:paraId="5215D34C" w14:textId="77777777" w:rsidR="00E707F7" w:rsidRDefault="00E707F7" w:rsidP="00E707F7">
      <w:pPr>
        <w:rPr>
          <w:rFonts w:asciiTheme="minorHAnsi" w:hAnsiTheme="minorHAnsi" w:cstheme="minorHAnsi"/>
        </w:rPr>
      </w:pPr>
    </w:p>
    <w:p w14:paraId="7B48EB13" w14:textId="77777777" w:rsidR="00E707F7" w:rsidRPr="00E707F7" w:rsidRDefault="00E707F7" w:rsidP="00E707F7">
      <w:pPr>
        <w:rPr>
          <w:rFonts w:asciiTheme="minorHAnsi" w:hAnsiTheme="minorHAnsi" w:cstheme="minorHAnsi"/>
        </w:rPr>
      </w:pPr>
      <w:r w:rsidRPr="00E707F7">
        <w:rPr>
          <w:rFonts w:asciiTheme="minorHAnsi" w:hAnsiTheme="minorHAnsi" w:cstheme="minorHAnsi"/>
          <w:b/>
          <w:bCs/>
        </w:rPr>
        <w:t>3. Learn More About Investing</w:t>
      </w:r>
    </w:p>
    <w:p w14:paraId="073904B2" w14:textId="5A733AA5" w:rsidR="00E707F7" w:rsidRDefault="00E707F7" w:rsidP="00E707F7">
      <w:pPr>
        <w:rPr>
          <w:rFonts w:asciiTheme="minorHAnsi" w:hAnsiTheme="minorHAnsi" w:cstheme="minorHAnsi"/>
        </w:rPr>
      </w:pPr>
      <w:r w:rsidRPr="00E707F7">
        <w:rPr>
          <w:rFonts w:asciiTheme="minorHAnsi" w:hAnsiTheme="minorHAnsi" w:cstheme="minorHAnsi"/>
        </w:rPr>
        <w:t xml:space="preserve">Once your HSA reaches a $1,000 cash balance, you can start investing your HSA funds. Whether you’re new to investing and are looking for a guided experience </w:t>
      </w:r>
      <w:r w:rsidRPr="00E707F7">
        <w:rPr>
          <w:rFonts w:asciiTheme="minorHAnsi" w:hAnsiTheme="minorHAnsi" w:cstheme="minorHAnsi"/>
          <w:b/>
          <w:bCs/>
        </w:rPr>
        <w:t xml:space="preserve">or </w:t>
      </w:r>
      <w:r w:rsidRPr="00E707F7">
        <w:rPr>
          <w:rFonts w:asciiTheme="minorHAnsi" w:hAnsiTheme="minorHAnsi" w:cstheme="minorHAnsi"/>
        </w:rPr>
        <w:t xml:space="preserve">are a seasoned investor looking to research and trade stocks and ETFs, you can choose an investment model that best fits your needs. Learn more about your </w:t>
      </w:r>
      <w:hyperlink r:id="rId11" w:tgtFrame="_blank" w:history="1">
        <w:r w:rsidRPr="00E707F7">
          <w:rPr>
            <w:rStyle w:val="Hyperlink"/>
            <w:rFonts w:asciiTheme="minorHAnsi" w:hAnsiTheme="minorHAnsi" w:cstheme="minorHAnsi"/>
          </w:rPr>
          <w:t>investme</w:t>
        </w:r>
        <w:r w:rsidRPr="00E707F7">
          <w:rPr>
            <w:rStyle w:val="Hyperlink"/>
            <w:rFonts w:asciiTheme="minorHAnsi" w:hAnsiTheme="minorHAnsi" w:cstheme="minorHAnsi"/>
          </w:rPr>
          <w:t>n</w:t>
        </w:r>
        <w:r w:rsidRPr="00E707F7">
          <w:rPr>
            <w:rStyle w:val="Hyperlink"/>
            <w:rFonts w:asciiTheme="minorHAnsi" w:hAnsiTheme="minorHAnsi" w:cstheme="minorHAnsi"/>
          </w:rPr>
          <w:t>t options</w:t>
        </w:r>
      </w:hyperlink>
      <w:r w:rsidRPr="00E707F7">
        <w:rPr>
          <w:rFonts w:asciiTheme="minorHAnsi" w:hAnsiTheme="minorHAnsi" w:cstheme="minorHAnsi"/>
        </w:rPr>
        <w:t>. </w:t>
      </w:r>
    </w:p>
    <w:p w14:paraId="685CC16D" w14:textId="77777777" w:rsidR="004F3FEA" w:rsidRDefault="004F3FEA" w:rsidP="00E707F7">
      <w:pPr>
        <w:rPr>
          <w:rFonts w:asciiTheme="minorHAnsi" w:hAnsiTheme="minorHAnsi" w:cstheme="minorHAnsi"/>
        </w:rPr>
      </w:pPr>
    </w:p>
    <w:p w14:paraId="31B0B19D" w14:textId="77777777" w:rsidR="004F3FEA" w:rsidRPr="004F3FEA" w:rsidRDefault="004F3FEA" w:rsidP="004F3FEA">
      <w:pPr>
        <w:rPr>
          <w:rFonts w:asciiTheme="minorHAnsi" w:hAnsiTheme="minorHAnsi" w:cstheme="minorHAnsi"/>
        </w:rPr>
      </w:pPr>
      <w:r w:rsidRPr="004F3FEA">
        <w:rPr>
          <w:rFonts w:asciiTheme="minorHAnsi" w:hAnsiTheme="minorHAnsi" w:cstheme="minorHAnsi"/>
          <w:b/>
          <w:bCs/>
        </w:rPr>
        <w:t>4. View Eligible Expenses</w:t>
      </w:r>
    </w:p>
    <w:p w14:paraId="34EB0BE3" w14:textId="14C4125B" w:rsidR="004F3FEA" w:rsidRDefault="004F3FEA" w:rsidP="004F3FEA">
      <w:pPr>
        <w:rPr>
          <w:rFonts w:asciiTheme="minorHAnsi" w:hAnsiTheme="minorHAnsi" w:cstheme="minorHAnsi"/>
        </w:rPr>
      </w:pPr>
      <w:r w:rsidRPr="004F3FEA">
        <w:rPr>
          <w:rFonts w:asciiTheme="minorHAnsi" w:hAnsiTheme="minorHAnsi" w:cstheme="minorHAnsi"/>
        </w:rPr>
        <w:t xml:space="preserve">Consider which eligible expenses you can use your HSA funds on to help inform your contribution amount. For a full list of eligible HSA expenses, visit </w:t>
      </w:r>
      <w:hyperlink r:id="rId12" w:tgtFrame="_blank" w:history="1">
        <w:r>
          <w:rPr>
            <w:rStyle w:val="Hyperlink"/>
            <w:rFonts w:asciiTheme="minorHAnsi" w:hAnsiTheme="minorHAnsi" w:cstheme="minorHAnsi"/>
          </w:rPr>
          <w:t>ebcflex.com/</w:t>
        </w:r>
        <w:proofErr w:type="spellStart"/>
        <w:r>
          <w:rPr>
            <w:rStyle w:val="Hyperlink"/>
            <w:rFonts w:asciiTheme="minorHAnsi" w:hAnsiTheme="minorHAnsi" w:cstheme="minorHAnsi"/>
          </w:rPr>
          <w:t>eligibleexpenses</w:t>
        </w:r>
        <w:proofErr w:type="spellEnd"/>
      </w:hyperlink>
      <w:r w:rsidRPr="004F3FEA">
        <w:rPr>
          <w:rFonts w:asciiTheme="minorHAnsi" w:hAnsiTheme="minorHAnsi" w:cstheme="minorHAnsi"/>
        </w:rPr>
        <w:t xml:space="preserve">. For more information on where you can spend your HSA funds, visit </w:t>
      </w:r>
      <w:hyperlink r:id="rId13" w:tgtFrame="_blank" w:history="1">
        <w:r>
          <w:rPr>
            <w:rStyle w:val="Hyperlink"/>
            <w:rFonts w:asciiTheme="minorHAnsi" w:hAnsiTheme="minorHAnsi" w:cstheme="minorHAnsi"/>
          </w:rPr>
          <w:t>ebcflex.com/</w:t>
        </w:r>
        <w:proofErr w:type="spellStart"/>
        <w:r>
          <w:rPr>
            <w:rStyle w:val="Hyperlink"/>
            <w:rFonts w:asciiTheme="minorHAnsi" w:hAnsiTheme="minorHAnsi" w:cstheme="minorHAnsi"/>
          </w:rPr>
          <w:t>WheretoShop</w:t>
        </w:r>
        <w:proofErr w:type="spellEnd"/>
      </w:hyperlink>
      <w:r w:rsidRPr="004F3FEA">
        <w:rPr>
          <w:rFonts w:asciiTheme="minorHAnsi" w:hAnsiTheme="minorHAnsi" w:cstheme="minorHAnsi"/>
        </w:rPr>
        <w:t>.</w:t>
      </w:r>
    </w:p>
    <w:p w14:paraId="29FA3F94" w14:textId="77777777" w:rsidR="00D30C90" w:rsidRDefault="00D30C90" w:rsidP="004F3FEA">
      <w:pPr>
        <w:rPr>
          <w:rFonts w:asciiTheme="minorHAnsi" w:hAnsiTheme="minorHAnsi" w:cstheme="minorHAnsi"/>
        </w:rPr>
      </w:pPr>
    </w:p>
    <w:p w14:paraId="559D865C" w14:textId="77777777" w:rsidR="00D30C90" w:rsidRPr="00D30C90" w:rsidRDefault="00D30C90" w:rsidP="00D30C90">
      <w:pPr>
        <w:rPr>
          <w:rFonts w:asciiTheme="minorHAnsi" w:hAnsiTheme="minorHAnsi" w:cstheme="minorHAnsi"/>
        </w:rPr>
      </w:pPr>
      <w:r w:rsidRPr="00D30C90">
        <w:rPr>
          <w:rFonts w:asciiTheme="minorHAnsi" w:hAnsiTheme="minorHAnsi" w:cstheme="minorHAnsi"/>
          <w:b/>
          <w:bCs/>
        </w:rPr>
        <w:lastRenderedPageBreak/>
        <w:t>5. Choose Your Contribution Amount</w:t>
      </w:r>
    </w:p>
    <w:p w14:paraId="5F08E372" w14:textId="17386618" w:rsidR="00D30C90" w:rsidRPr="00E707F7" w:rsidRDefault="00D30C90" w:rsidP="00D30C90">
      <w:pPr>
        <w:rPr>
          <w:rFonts w:asciiTheme="minorHAnsi" w:hAnsiTheme="minorHAnsi" w:cstheme="minorHAnsi"/>
        </w:rPr>
      </w:pPr>
      <w:r w:rsidRPr="00D30C90">
        <w:rPr>
          <w:rFonts w:asciiTheme="minorHAnsi" w:hAnsiTheme="minorHAnsi" w:cstheme="minorHAnsi"/>
        </w:rPr>
        <w:t>After considering the eligible expenses, decide how much you would like to contribute to the HSA. For 2025, you can elect to contribute up to the established limit:</w:t>
      </w:r>
    </w:p>
    <w:p w14:paraId="79F61DA5" w14:textId="77777777" w:rsidR="00A44B36" w:rsidRDefault="00A44B36" w:rsidP="00A44B36">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3596"/>
        <w:gridCol w:w="3597"/>
        <w:gridCol w:w="3597"/>
      </w:tblGrid>
      <w:tr w:rsidR="00A44B36" w14:paraId="1EBA6CEB" w14:textId="77777777" w:rsidTr="00A44B36">
        <w:tc>
          <w:tcPr>
            <w:tcW w:w="3596" w:type="dxa"/>
            <w:shd w:val="clear" w:color="auto" w:fill="319B42"/>
          </w:tcPr>
          <w:p w14:paraId="607AB363" w14:textId="3A7861E5" w:rsidR="00A44B36" w:rsidRDefault="00D30C90" w:rsidP="00A44B36">
            <w:pPr>
              <w:jc w:val="center"/>
              <w:rPr>
                <w:rFonts w:asciiTheme="minorHAnsi" w:hAnsiTheme="minorHAnsi" w:cstheme="minorHAnsi"/>
              </w:rPr>
            </w:pPr>
            <w:r>
              <w:rPr>
                <w:rFonts w:asciiTheme="minorHAnsi" w:hAnsiTheme="minorHAnsi" w:cstheme="minorHAnsi"/>
                <w:b/>
                <w:bCs/>
              </w:rPr>
              <w:t>Self-Only Health Plan</w:t>
            </w:r>
          </w:p>
        </w:tc>
        <w:tc>
          <w:tcPr>
            <w:tcW w:w="3597" w:type="dxa"/>
            <w:shd w:val="clear" w:color="auto" w:fill="319B42"/>
          </w:tcPr>
          <w:p w14:paraId="5E40BED2" w14:textId="26F87C81" w:rsidR="00A44B36" w:rsidRDefault="00D30C90" w:rsidP="00A44B36">
            <w:pPr>
              <w:jc w:val="center"/>
              <w:rPr>
                <w:rFonts w:asciiTheme="minorHAnsi" w:hAnsiTheme="minorHAnsi" w:cstheme="minorHAnsi"/>
              </w:rPr>
            </w:pPr>
            <w:r>
              <w:rPr>
                <w:rFonts w:asciiTheme="minorHAnsi" w:hAnsiTheme="minorHAnsi" w:cstheme="minorHAnsi"/>
                <w:b/>
                <w:bCs/>
              </w:rPr>
              <w:t>Family Health Plan</w:t>
            </w:r>
          </w:p>
        </w:tc>
        <w:tc>
          <w:tcPr>
            <w:tcW w:w="3597" w:type="dxa"/>
            <w:shd w:val="clear" w:color="auto" w:fill="319B42"/>
          </w:tcPr>
          <w:p w14:paraId="74E560AB" w14:textId="5B92D839" w:rsidR="00A44B36" w:rsidRDefault="00D30C90" w:rsidP="00A44B36">
            <w:pPr>
              <w:jc w:val="center"/>
              <w:rPr>
                <w:rFonts w:asciiTheme="minorHAnsi" w:hAnsiTheme="minorHAnsi" w:cstheme="minorHAnsi"/>
              </w:rPr>
            </w:pPr>
            <w:r>
              <w:rPr>
                <w:rFonts w:asciiTheme="minorHAnsi" w:hAnsiTheme="minorHAnsi" w:cstheme="minorHAnsi"/>
                <w:b/>
                <w:bCs/>
              </w:rPr>
              <w:t>Catch-Up Contribution (55+)</w:t>
            </w:r>
          </w:p>
        </w:tc>
      </w:tr>
      <w:tr w:rsidR="00A44B36" w14:paraId="076452B6" w14:textId="77777777" w:rsidTr="00A44B36">
        <w:tc>
          <w:tcPr>
            <w:tcW w:w="3596" w:type="dxa"/>
          </w:tcPr>
          <w:p w14:paraId="70F14351" w14:textId="1BFB8247" w:rsidR="00A44B36" w:rsidRDefault="00A44B36" w:rsidP="00A44B36">
            <w:pPr>
              <w:jc w:val="center"/>
              <w:rPr>
                <w:rFonts w:asciiTheme="minorHAnsi" w:hAnsiTheme="minorHAnsi" w:cstheme="minorHAnsi"/>
              </w:rPr>
            </w:pPr>
            <w:r w:rsidRPr="00A44B36">
              <w:rPr>
                <w:rFonts w:asciiTheme="minorHAnsi" w:hAnsiTheme="minorHAnsi" w:cstheme="minorHAnsi"/>
                <w:b/>
                <w:bCs/>
              </w:rPr>
              <w:t>$</w:t>
            </w:r>
            <w:r w:rsidR="00D30C90">
              <w:rPr>
                <w:rFonts w:asciiTheme="minorHAnsi" w:hAnsiTheme="minorHAnsi" w:cstheme="minorHAnsi"/>
                <w:b/>
                <w:bCs/>
              </w:rPr>
              <w:t>4,300*</w:t>
            </w:r>
          </w:p>
        </w:tc>
        <w:tc>
          <w:tcPr>
            <w:tcW w:w="3597" w:type="dxa"/>
          </w:tcPr>
          <w:p w14:paraId="72B0735B" w14:textId="4AC13783" w:rsidR="00A44B36" w:rsidRDefault="00D30C90" w:rsidP="00A44B36">
            <w:pPr>
              <w:jc w:val="center"/>
              <w:rPr>
                <w:rFonts w:asciiTheme="minorHAnsi" w:hAnsiTheme="minorHAnsi" w:cstheme="minorHAnsi"/>
              </w:rPr>
            </w:pPr>
            <w:r>
              <w:rPr>
                <w:rFonts w:asciiTheme="minorHAnsi" w:hAnsiTheme="minorHAnsi" w:cstheme="minorHAnsi"/>
                <w:b/>
                <w:bCs/>
              </w:rPr>
              <w:t>$8,550</w:t>
            </w:r>
            <w:r w:rsidR="00A44B36">
              <w:rPr>
                <w:rFonts w:asciiTheme="minorHAnsi" w:hAnsiTheme="minorHAnsi" w:cstheme="minorHAnsi"/>
                <w:b/>
                <w:bCs/>
              </w:rPr>
              <w:t>*</w:t>
            </w:r>
          </w:p>
        </w:tc>
        <w:tc>
          <w:tcPr>
            <w:tcW w:w="3597" w:type="dxa"/>
          </w:tcPr>
          <w:p w14:paraId="764670DA" w14:textId="0F3C6FE3" w:rsidR="00A44B36" w:rsidRDefault="00A44B36" w:rsidP="00A44B36">
            <w:pPr>
              <w:jc w:val="center"/>
              <w:rPr>
                <w:rFonts w:asciiTheme="minorHAnsi" w:hAnsiTheme="minorHAnsi" w:cstheme="minorHAnsi"/>
              </w:rPr>
            </w:pPr>
            <w:r w:rsidRPr="00A44B36">
              <w:rPr>
                <w:rFonts w:asciiTheme="minorHAnsi" w:hAnsiTheme="minorHAnsi" w:cstheme="minorHAnsi"/>
                <w:b/>
                <w:bCs/>
              </w:rPr>
              <w:t>$</w:t>
            </w:r>
            <w:r w:rsidR="00D30C90">
              <w:rPr>
                <w:rFonts w:asciiTheme="minorHAnsi" w:hAnsiTheme="minorHAnsi" w:cstheme="minorHAnsi"/>
                <w:b/>
                <w:bCs/>
              </w:rPr>
              <w:t>1,000</w:t>
            </w:r>
          </w:p>
        </w:tc>
      </w:tr>
    </w:tbl>
    <w:p w14:paraId="275F72EA" w14:textId="77777777" w:rsidR="00A44B36" w:rsidRDefault="00A44B36" w:rsidP="00A44B36">
      <w:pPr>
        <w:rPr>
          <w:rFonts w:asciiTheme="minorHAnsi" w:hAnsiTheme="minorHAnsi" w:cstheme="minorHAnsi"/>
        </w:rPr>
      </w:pPr>
    </w:p>
    <w:p w14:paraId="66CDC79C" w14:textId="387489BA" w:rsidR="00A44B36" w:rsidRDefault="00D30C90" w:rsidP="00A44B36">
      <w:pPr>
        <w:rPr>
          <w:rFonts w:asciiTheme="minorHAnsi" w:hAnsiTheme="minorHAnsi" w:cstheme="minorHAnsi"/>
          <w:i/>
          <w:iCs/>
        </w:rPr>
      </w:pPr>
      <w:r w:rsidRPr="00D30C90">
        <w:rPr>
          <w:rFonts w:asciiTheme="minorHAnsi" w:hAnsiTheme="minorHAnsi" w:cstheme="minorHAnsi"/>
          <w:i/>
          <w:iCs/>
        </w:rPr>
        <w:t>*Limits are based on the assumption that an individual is HSA eligible for the full plan year. Limits may be prorated based on the duration of HSA eligibility.</w:t>
      </w:r>
    </w:p>
    <w:p w14:paraId="204B9B44" w14:textId="77777777" w:rsidR="00D30C90" w:rsidRDefault="00D30C90" w:rsidP="00A44B36">
      <w:pPr>
        <w:rPr>
          <w:rFonts w:asciiTheme="minorHAnsi" w:hAnsiTheme="minorHAnsi" w:cstheme="minorHAnsi"/>
          <w:i/>
          <w:iCs/>
        </w:rPr>
      </w:pPr>
    </w:p>
    <w:p w14:paraId="26110433" w14:textId="77777777" w:rsidR="00D30C90" w:rsidRPr="00D30C90" w:rsidRDefault="00D30C90" w:rsidP="00D30C90">
      <w:pPr>
        <w:rPr>
          <w:rFonts w:asciiTheme="minorHAnsi" w:hAnsiTheme="minorHAnsi" w:cstheme="minorHAnsi"/>
        </w:rPr>
      </w:pPr>
      <w:r w:rsidRPr="00D30C90">
        <w:rPr>
          <w:rFonts w:asciiTheme="minorHAnsi" w:hAnsiTheme="minorHAnsi" w:cstheme="minorHAnsi"/>
          <w:b/>
          <w:bCs/>
        </w:rPr>
        <w:t>6. Complete the Enrollment Process</w:t>
      </w:r>
    </w:p>
    <w:p w14:paraId="2EDF25A5" w14:textId="75DAD870" w:rsidR="00D30C90" w:rsidRPr="00A44B36" w:rsidRDefault="00D30C90" w:rsidP="00D30C90">
      <w:pPr>
        <w:rPr>
          <w:rFonts w:asciiTheme="minorHAnsi" w:hAnsiTheme="minorHAnsi" w:cstheme="minorHAnsi"/>
        </w:rPr>
      </w:pPr>
      <w:r w:rsidRPr="00D30C90">
        <w:rPr>
          <w:rFonts w:asciiTheme="minorHAnsi" w:hAnsiTheme="minorHAnsi" w:cstheme="minorHAnsi"/>
        </w:rPr>
        <w:t>After determining that an HSA is right for you, if you are eligible for an HSA, and determining your election amount, you should now have a better understanding of your available options and be prepared to complete the enrollment process.</w:t>
      </w:r>
    </w:p>
    <w:sectPr w:rsidR="00D30C90" w:rsidRPr="00A44B36"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B2F"/>
    <w:multiLevelType w:val="hybridMultilevel"/>
    <w:tmpl w:val="2F7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A007F"/>
    <w:multiLevelType w:val="hybridMultilevel"/>
    <w:tmpl w:val="5E9A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F3E65"/>
    <w:multiLevelType w:val="hybridMultilevel"/>
    <w:tmpl w:val="BEE6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5"/>
  </w:num>
  <w:num w:numId="2" w16cid:durableId="646780543">
    <w:abstractNumId w:val="5"/>
  </w:num>
  <w:num w:numId="3" w16cid:durableId="186986969">
    <w:abstractNumId w:val="1"/>
  </w:num>
  <w:num w:numId="4" w16cid:durableId="359672968">
    <w:abstractNumId w:val="6"/>
  </w:num>
  <w:num w:numId="5" w16cid:durableId="389766863">
    <w:abstractNumId w:val="4"/>
  </w:num>
  <w:num w:numId="6" w16cid:durableId="348071354">
    <w:abstractNumId w:val="0"/>
  </w:num>
  <w:num w:numId="7" w16cid:durableId="1677147985">
    <w:abstractNumId w:val="3"/>
  </w:num>
  <w:num w:numId="8" w16cid:durableId="42442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06D0"/>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0ABF"/>
    <w:rsid w:val="003B297D"/>
    <w:rsid w:val="00441E02"/>
    <w:rsid w:val="00447297"/>
    <w:rsid w:val="004F1078"/>
    <w:rsid w:val="004F3FEA"/>
    <w:rsid w:val="005268B4"/>
    <w:rsid w:val="005400F6"/>
    <w:rsid w:val="00544D14"/>
    <w:rsid w:val="005478FD"/>
    <w:rsid w:val="005A5267"/>
    <w:rsid w:val="005C3A1C"/>
    <w:rsid w:val="005C5674"/>
    <w:rsid w:val="005F4540"/>
    <w:rsid w:val="0064067D"/>
    <w:rsid w:val="00663242"/>
    <w:rsid w:val="007D77D8"/>
    <w:rsid w:val="007E5B3C"/>
    <w:rsid w:val="00973639"/>
    <w:rsid w:val="009D5971"/>
    <w:rsid w:val="00A1000A"/>
    <w:rsid w:val="00A44B36"/>
    <w:rsid w:val="00A50D9B"/>
    <w:rsid w:val="00A920D3"/>
    <w:rsid w:val="00AA58EE"/>
    <w:rsid w:val="00B12DBC"/>
    <w:rsid w:val="00BB2616"/>
    <w:rsid w:val="00BB66A0"/>
    <w:rsid w:val="00BF3E85"/>
    <w:rsid w:val="00C025B6"/>
    <w:rsid w:val="00C51EE7"/>
    <w:rsid w:val="00CB2CD9"/>
    <w:rsid w:val="00D30C90"/>
    <w:rsid w:val="00D37B3A"/>
    <w:rsid w:val="00D5169C"/>
    <w:rsid w:val="00D6134E"/>
    <w:rsid w:val="00D75863"/>
    <w:rsid w:val="00D8586F"/>
    <w:rsid w:val="00DC3D06"/>
    <w:rsid w:val="00E12512"/>
    <w:rsid w:val="00E707F7"/>
    <w:rsid w:val="00F31B1F"/>
    <w:rsid w:val="00F52120"/>
    <w:rsid w:val="00F54926"/>
    <w:rsid w:val="00FA745D"/>
    <w:rsid w:val="00FD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982590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37959848">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33706475">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344216183">
      <w:bodyDiv w:val="1"/>
      <w:marLeft w:val="0"/>
      <w:marRight w:val="0"/>
      <w:marTop w:val="0"/>
      <w:marBottom w:val="0"/>
      <w:divBdr>
        <w:top w:val="none" w:sz="0" w:space="0" w:color="auto"/>
        <w:left w:val="none" w:sz="0" w:space="0" w:color="auto"/>
        <w:bottom w:val="none" w:sz="0" w:space="0" w:color="auto"/>
        <w:right w:val="none" w:sz="0" w:space="0" w:color="auto"/>
      </w:divBdr>
    </w:div>
    <w:div w:id="355232261">
      <w:bodyDiv w:val="1"/>
      <w:marLeft w:val="0"/>
      <w:marRight w:val="0"/>
      <w:marTop w:val="0"/>
      <w:marBottom w:val="0"/>
      <w:divBdr>
        <w:top w:val="none" w:sz="0" w:space="0" w:color="auto"/>
        <w:left w:val="none" w:sz="0" w:space="0" w:color="auto"/>
        <w:bottom w:val="none" w:sz="0" w:space="0" w:color="auto"/>
        <w:right w:val="none" w:sz="0" w:space="0" w:color="auto"/>
      </w:divBdr>
    </w:div>
    <w:div w:id="371342321">
      <w:bodyDiv w:val="1"/>
      <w:marLeft w:val="0"/>
      <w:marRight w:val="0"/>
      <w:marTop w:val="0"/>
      <w:marBottom w:val="0"/>
      <w:divBdr>
        <w:top w:val="none" w:sz="0" w:space="0" w:color="auto"/>
        <w:left w:val="none" w:sz="0" w:space="0" w:color="auto"/>
        <w:bottom w:val="none" w:sz="0" w:space="0" w:color="auto"/>
        <w:right w:val="none" w:sz="0" w:space="0" w:color="auto"/>
      </w:divBdr>
    </w:div>
    <w:div w:id="372077884">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541673254">
      <w:bodyDiv w:val="1"/>
      <w:marLeft w:val="0"/>
      <w:marRight w:val="0"/>
      <w:marTop w:val="0"/>
      <w:marBottom w:val="0"/>
      <w:divBdr>
        <w:top w:val="none" w:sz="0" w:space="0" w:color="auto"/>
        <w:left w:val="none" w:sz="0" w:space="0" w:color="auto"/>
        <w:bottom w:val="none" w:sz="0" w:space="0" w:color="auto"/>
        <w:right w:val="none" w:sz="0" w:space="0" w:color="auto"/>
      </w:divBdr>
    </w:div>
    <w:div w:id="563561959">
      <w:bodyDiv w:val="1"/>
      <w:marLeft w:val="0"/>
      <w:marRight w:val="0"/>
      <w:marTop w:val="0"/>
      <w:marBottom w:val="0"/>
      <w:divBdr>
        <w:top w:val="none" w:sz="0" w:space="0" w:color="auto"/>
        <w:left w:val="none" w:sz="0" w:space="0" w:color="auto"/>
        <w:bottom w:val="none" w:sz="0" w:space="0" w:color="auto"/>
        <w:right w:val="none" w:sz="0" w:space="0" w:color="auto"/>
      </w:divBdr>
    </w:div>
    <w:div w:id="570313362">
      <w:bodyDiv w:val="1"/>
      <w:marLeft w:val="0"/>
      <w:marRight w:val="0"/>
      <w:marTop w:val="0"/>
      <w:marBottom w:val="0"/>
      <w:divBdr>
        <w:top w:val="none" w:sz="0" w:space="0" w:color="auto"/>
        <w:left w:val="none" w:sz="0" w:space="0" w:color="auto"/>
        <w:bottom w:val="none" w:sz="0" w:space="0" w:color="auto"/>
        <w:right w:val="none" w:sz="0" w:space="0" w:color="auto"/>
      </w:divBdr>
    </w:div>
    <w:div w:id="590898333">
      <w:bodyDiv w:val="1"/>
      <w:marLeft w:val="0"/>
      <w:marRight w:val="0"/>
      <w:marTop w:val="0"/>
      <w:marBottom w:val="0"/>
      <w:divBdr>
        <w:top w:val="none" w:sz="0" w:space="0" w:color="auto"/>
        <w:left w:val="none" w:sz="0" w:space="0" w:color="auto"/>
        <w:bottom w:val="none" w:sz="0" w:space="0" w:color="auto"/>
        <w:right w:val="none" w:sz="0" w:space="0" w:color="auto"/>
      </w:divBdr>
    </w:div>
    <w:div w:id="597564508">
      <w:bodyDiv w:val="1"/>
      <w:marLeft w:val="0"/>
      <w:marRight w:val="0"/>
      <w:marTop w:val="0"/>
      <w:marBottom w:val="0"/>
      <w:divBdr>
        <w:top w:val="none" w:sz="0" w:space="0" w:color="auto"/>
        <w:left w:val="none" w:sz="0" w:space="0" w:color="auto"/>
        <w:bottom w:val="none" w:sz="0" w:space="0" w:color="auto"/>
        <w:right w:val="none" w:sz="0" w:space="0" w:color="auto"/>
      </w:divBdr>
    </w:div>
    <w:div w:id="657419225">
      <w:bodyDiv w:val="1"/>
      <w:marLeft w:val="0"/>
      <w:marRight w:val="0"/>
      <w:marTop w:val="0"/>
      <w:marBottom w:val="0"/>
      <w:divBdr>
        <w:top w:val="none" w:sz="0" w:space="0" w:color="auto"/>
        <w:left w:val="none" w:sz="0" w:space="0" w:color="auto"/>
        <w:bottom w:val="none" w:sz="0" w:space="0" w:color="auto"/>
        <w:right w:val="none" w:sz="0" w:space="0" w:color="auto"/>
      </w:divBdr>
    </w:div>
    <w:div w:id="700206993">
      <w:bodyDiv w:val="1"/>
      <w:marLeft w:val="0"/>
      <w:marRight w:val="0"/>
      <w:marTop w:val="0"/>
      <w:marBottom w:val="0"/>
      <w:divBdr>
        <w:top w:val="none" w:sz="0" w:space="0" w:color="auto"/>
        <w:left w:val="none" w:sz="0" w:space="0" w:color="auto"/>
        <w:bottom w:val="none" w:sz="0" w:space="0" w:color="auto"/>
        <w:right w:val="none" w:sz="0" w:space="0" w:color="auto"/>
      </w:divBdr>
    </w:div>
    <w:div w:id="771583168">
      <w:bodyDiv w:val="1"/>
      <w:marLeft w:val="0"/>
      <w:marRight w:val="0"/>
      <w:marTop w:val="0"/>
      <w:marBottom w:val="0"/>
      <w:divBdr>
        <w:top w:val="none" w:sz="0" w:space="0" w:color="auto"/>
        <w:left w:val="none" w:sz="0" w:space="0" w:color="auto"/>
        <w:bottom w:val="none" w:sz="0" w:space="0" w:color="auto"/>
        <w:right w:val="none" w:sz="0" w:space="0" w:color="auto"/>
      </w:divBdr>
    </w:div>
    <w:div w:id="785732591">
      <w:bodyDiv w:val="1"/>
      <w:marLeft w:val="0"/>
      <w:marRight w:val="0"/>
      <w:marTop w:val="0"/>
      <w:marBottom w:val="0"/>
      <w:divBdr>
        <w:top w:val="none" w:sz="0" w:space="0" w:color="auto"/>
        <w:left w:val="none" w:sz="0" w:space="0" w:color="auto"/>
        <w:bottom w:val="none" w:sz="0" w:space="0" w:color="auto"/>
        <w:right w:val="none" w:sz="0" w:space="0" w:color="auto"/>
      </w:divBdr>
    </w:div>
    <w:div w:id="788163368">
      <w:bodyDiv w:val="1"/>
      <w:marLeft w:val="0"/>
      <w:marRight w:val="0"/>
      <w:marTop w:val="0"/>
      <w:marBottom w:val="0"/>
      <w:divBdr>
        <w:top w:val="none" w:sz="0" w:space="0" w:color="auto"/>
        <w:left w:val="none" w:sz="0" w:space="0" w:color="auto"/>
        <w:bottom w:val="none" w:sz="0" w:space="0" w:color="auto"/>
        <w:right w:val="none" w:sz="0" w:space="0" w:color="auto"/>
      </w:divBdr>
    </w:div>
    <w:div w:id="802425852">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114983523">
      <w:bodyDiv w:val="1"/>
      <w:marLeft w:val="0"/>
      <w:marRight w:val="0"/>
      <w:marTop w:val="0"/>
      <w:marBottom w:val="0"/>
      <w:divBdr>
        <w:top w:val="none" w:sz="0" w:space="0" w:color="auto"/>
        <w:left w:val="none" w:sz="0" w:space="0" w:color="auto"/>
        <w:bottom w:val="none" w:sz="0" w:space="0" w:color="auto"/>
        <w:right w:val="none" w:sz="0" w:space="0" w:color="auto"/>
      </w:divBdr>
    </w:div>
    <w:div w:id="1165051542">
      <w:bodyDiv w:val="1"/>
      <w:marLeft w:val="0"/>
      <w:marRight w:val="0"/>
      <w:marTop w:val="0"/>
      <w:marBottom w:val="0"/>
      <w:divBdr>
        <w:top w:val="none" w:sz="0" w:space="0" w:color="auto"/>
        <w:left w:val="none" w:sz="0" w:space="0" w:color="auto"/>
        <w:bottom w:val="none" w:sz="0" w:space="0" w:color="auto"/>
        <w:right w:val="none" w:sz="0" w:space="0" w:color="auto"/>
      </w:divBdr>
    </w:div>
    <w:div w:id="1165243878">
      <w:bodyDiv w:val="1"/>
      <w:marLeft w:val="0"/>
      <w:marRight w:val="0"/>
      <w:marTop w:val="0"/>
      <w:marBottom w:val="0"/>
      <w:divBdr>
        <w:top w:val="none" w:sz="0" w:space="0" w:color="auto"/>
        <w:left w:val="none" w:sz="0" w:space="0" w:color="auto"/>
        <w:bottom w:val="none" w:sz="0" w:space="0" w:color="auto"/>
        <w:right w:val="none" w:sz="0" w:space="0" w:color="auto"/>
      </w:divBdr>
    </w:div>
    <w:div w:id="1168443103">
      <w:bodyDiv w:val="1"/>
      <w:marLeft w:val="0"/>
      <w:marRight w:val="0"/>
      <w:marTop w:val="0"/>
      <w:marBottom w:val="0"/>
      <w:divBdr>
        <w:top w:val="none" w:sz="0" w:space="0" w:color="auto"/>
        <w:left w:val="none" w:sz="0" w:space="0" w:color="auto"/>
        <w:bottom w:val="none" w:sz="0" w:space="0" w:color="auto"/>
        <w:right w:val="none" w:sz="0" w:space="0" w:color="auto"/>
      </w:divBdr>
    </w:div>
    <w:div w:id="1227567926">
      <w:bodyDiv w:val="1"/>
      <w:marLeft w:val="0"/>
      <w:marRight w:val="0"/>
      <w:marTop w:val="0"/>
      <w:marBottom w:val="0"/>
      <w:divBdr>
        <w:top w:val="none" w:sz="0" w:space="0" w:color="auto"/>
        <w:left w:val="none" w:sz="0" w:space="0" w:color="auto"/>
        <w:bottom w:val="none" w:sz="0" w:space="0" w:color="auto"/>
        <w:right w:val="none" w:sz="0" w:space="0" w:color="auto"/>
      </w:divBdr>
    </w:div>
    <w:div w:id="1262950959">
      <w:bodyDiv w:val="1"/>
      <w:marLeft w:val="0"/>
      <w:marRight w:val="0"/>
      <w:marTop w:val="0"/>
      <w:marBottom w:val="0"/>
      <w:divBdr>
        <w:top w:val="none" w:sz="0" w:space="0" w:color="auto"/>
        <w:left w:val="none" w:sz="0" w:space="0" w:color="auto"/>
        <w:bottom w:val="none" w:sz="0" w:space="0" w:color="auto"/>
        <w:right w:val="none" w:sz="0" w:space="0" w:color="auto"/>
      </w:divBdr>
    </w:div>
    <w:div w:id="1328482016">
      <w:bodyDiv w:val="1"/>
      <w:marLeft w:val="0"/>
      <w:marRight w:val="0"/>
      <w:marTop w:val="0"/>
      <w:marBottom w:val="0"/>
      <w:divBdr>
        <w:top w:val="none" w:sz="0" w:space="0" w:color="auto"/>
        <w:left w:val="none" w:sz="0" w:space="0" w:color="auto"/>
        <w:bottom w:val="none" w:sz="0" w:space="0" w:color="auto"/>
        <w:right w:val="none" w:sz="0" w:space="0" w:color="auto"/>
      </w:divBdr>
    </w:div>
    <w:div w:id="1331523965">
      <w:bodyDiv w:val="1"/>
      <w:marLeft w:val="0"/>
      <w:marRight w:val="0"/>
      <w:marTop w:val="0"/>
      <w:marBottom w:val="0"/>
      <w:divBdr>
        <w:top w:val="none" w:sz="0" w:space="0" w:color="auto"/>
        <w:left w:val="none" w:sz="0" w:space="0" w:color="auto"/>
        <w:bottom w:val="none" w:sz="0" w:space="0" w:color="auto"/>
        <w:right w:val="none" w:sz="0" w:space="0" w:color="auto"/>
      </w:divBdr>
    </w:div>
    <w:div w:id="1347055970">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389954236">
      <w:bodyDiv w:val="1"/>
      <w:marLeft w:val="0"/>
      <w:marRight w:val="0"/>
      <w:marTop w:val="0"/>
      <w:marBottom w:val="0"/>
      <w:divBdr>
        <w:top w:val="none" w:sz="0" w:space="0" w:color="auto"/>
        <w:left w:val="none" w:sz="0" w:space="0" w:color="auto"/>
        <w:bottom w:val="none" w:sz="0" w:space="0" w:color="auto"/>
        <w:right w:val="none" w:sz="0" w:space="0" w:color="auto"/>
      </w:divBdr>
    </w:div>
    <w:div w:id="1393456345">
      <w:bodyDiv w:val="1"/>
      <w:marLeft w:val="0"/>
      <w:marRight w:val="0"/>
      <w:marTop w:val="0"/>
      <w:marBottom w:val="0"/>
      <w:divBdr>
        <w:top w:val="none" w:sz="0" w:space="0" w:color="auto"/>
        <w:left w:val="none" w:sz="0" w:space="0" w:color="auto"/>
        <w:bottom w:val="none" w:sz="0" w:space="0" w:color="auto"/>
        <w:right w:val="none" w:sz="0" w:space="0" w:color="auto"/>
      </w:divBdr>
    </w:div>
    <w:div w:id="1403528928">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493376338">
      <w:bodyDiv w:val="1"/>
      <w:marLeft w:val="0"/>
      <w:marRight w:val="0"/>
      <w:marTop w:val="0"/>
      <w:marBottom w:val="0"/>
      <w:divBdr>
        <w:top w:val="none" w:sz="0" w:space="0" w:color="auto"/>
        <w:left w:val="none" w:sz="0" w:space="0" w:color="auto"/>
        <w:bottom w:val="none" w:sz="0" w:space="0" w:color="auto"/>
        <w:right w:val="none" w:sz="0" w:space="0" w:color="auto"/>
      </w:divBdr>
    </w:div>
    <w:div w:id="1512261692">
      <w:bodyDiv w:val="1"/>
      <w:marLeft w:val="0"/>
      <w:marRight w:val="0"/>
      <w:marTop w:val="0"/>
      <w:marBottom w:val="0"/>
      <w:divBdr>
        <w:top w:val="none" w:sz="0" w:space="0" w:color="auto"/>
        <w:left w:val="none" w:sz="0" w:space="0" w:color="auto"/>
        <w:bottom w:val="none" w:sz="0" w:space="0" w:color="auto"/>
        <w:right w:val="none" w:sz="0" w:space="0" w:color="auto"/>
      </w:divBdr>
    </w:div>
    <w:div w:id="1535267812">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1878421230">
      <w:bodyDiv w:val="1"/>
      <w:marLeft w:val="0"/>
      <w:marRight w:val="0"/>
      <w:marTop w:val="0"/>
      <w:marBottom w:val="0"/>
      <w:divBdr>
        <w:top w:val="none" w:sz="0" w:space="0" w:color="auto"/>
        <w:left w:val="none" w:sz="0" w:space="0" w:color="auto"/>
        <w:bottom w:val="none" w:sz="0" w:space="0" w:color="auto"/>
        <w:right w:val="none" w:sz="0" w:space="0" w:color="auto"/>
      </w:divBdr>
    </w:div>
    <w:div w:id="1936815789">
      <w:bodyDiv w:val="1"/>
      <w:marLeft w:val="0"/>
      <w:marRight w:val="0"/>
      <w:marTop w:val="0"/>
      <w:marBottom w:val="0"/>
      <w:divBdr>
        <w:top w:val="none" w:sz="0" w:space="0" w:color="auto"/>
        <w:left w:val="none" w:sz="0" w:space="0" w:color="auto"/>
        <w:bottom w:val="none" w:sz="0" w:space="0" w:color="auto"/>
        <w:right w:val="none" w:sz="0" w:space="0" w:color="auto"/>
      </w:divBdr>
    </w:div>
    <w:div w:id="1937515533">
      <w:bodyDiv w:val="1"/>
      <w:marLeft w:val="0"/>
      <w:marRight w:val="0"/>
      <w:marTop w:val="0"/>
      <w:marBottom w:val="0"/>
      <w:divBdr>
        <w:top w:val="none" w:sz="0" w:space="0" w:color="auto"/>
        <w:left w:val="none" w:sz="0" w:space="0" w:color="auto"/>
        <w:bottom w:val="none" w:sz="0" w:space="0" w:color="auto"/>
        <w:right w:val="none" w:sz="0" w:space="0" w:color="auto"/>
      </w:divBdr>
    </w:div>
    <w:div w:id="1948585048">
      <w:bodyDiv w:val="1"/>
      <w:marLeft w:val="0"/>
      <w:marRight w:val="0"/>
      <w:marTop w:val="0"/>
      <w:marBottom w:val="0"/>
      <w:divBdr>
        <w:top w:val="none" w:sz="0" w:space="0" w:color="auto"/>
        <w:left w:val="none" w:sz="0" w:space="0" w:color="auto"/>
        <w:bottom w:val="none" w:sz="0" w:space="0" w:color="auto"/>
        <w:right w:val="none" w:sz="0" w:space="0" w:color="auto"/>
      </w:divBdr>
    </w:div>
    <w:div w:id="1976980654">
      <w:bodyDiv w:val="1"/>
      <w:marLeft w:val="0"/>
      <w:marRight w:val="0"/>
      <w:marTop w:val="0"/>
      <w:marBottom w:val="0"/>
      <w:divBdr>
        <w:top w:val="none" w:sz="0" w:space="0" w:color="auto"/>
        <w:left w:val="none" w:sz="0" w:space="0" w:color="auto"/>
        <w:bottom w:val="none" w:sz="0" w:space="0" w:color="auto"/>
        <w:right w:val="none" w:sz="0" w:space="0" w:color="auto"/>
      </w:divBdr>
    </w:div>
    <w:div w:id="2014137786">
      <w:bodyDiv w:val="1"/>
      <w:marLeft w:val="0"/>
      <w:marRight w:val="0"/>
      <w:marTop w:val="0"/>
      <w:marBottom w:val="0"/>
      <w:divBdr>
        <w:top w:val="none" w:sz="0" w:space="0" w:color="auto"/>
        <w:left w:val="none" w:sz="0" w:space="0" w:color="auto"/>
        <w:bottom w:val="none" w:sz="0" w:space="0" w:color="auto"/>
        <w:right w:val="none" w:sz="0" w:space="0" w:color="auto"/>
      </w:divBdr>
    </w:div>
    <w:div w:id="2014722446">
      <w:bodyDiv w:val="1"/>
      <w:marLeft w:val="0"/>
      <w:marRight w:val="0"/>
      <w:marTop w:val="0"/>
      <w:marBottom w:val="0"/>
      <w:divBdr>
        <w:top w:val="none" w:sz="0" w:space="0" w:color="auto"/>
        <w:left w:val="none" w:sz="0" w:space="0" w:color="auto"/>
        <w:bottom w:val="none" w:sz="0" w:space="0" w:color="auto"/>
        <w:right w:val="none" w:sz="0" w:space="0" w:color="auto"/>
      </w:divBdr>
    </w:div>
    <w:div w:id="2024743082">
      <w:bodyDiv w:val="1"/>
      <w:marLeft w:val="0"/>
      <w:marRight w:val="0"/>
      <w:marTop w:val="0"/>
      <w:marBottom w:val="0"/>
      <w:divBdr>
        <w:top w:val="none" w:sz="0" w:space="0" w:color="auto"/>
        <w:left w:val="none" w:sz="0" w:space="0" w:color="auto"/>
        <w:bottom w:val="none" w:sz="0" w:space="0" w:color="auto"/>
        <w:right w:val="none" w:sz="0" w:space="0" w:color="auto"/>
      </w:divBdr>
    </w:div>
    <w:div w:id="2098087072">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cflex.com/highyieldhsa/" TargetMode="External"/><Relationship Id="rId13" Type="http://schemas.openxmlformats.org/officeDocument/2006/relationships/hyperlink" Target="http://www.ebcflex.com/WheretoShop" TargetMode="External"/><Relationship Id="rId3" Type="http://schemas.openxmlformats.org/officeDocument/2006/relationships/settings" Target="settings.xml"/><Relationship Id="rId7" Type="http://schemas.openxmlformats.org/officeDocument/2006/relationships/hyperlink" Target="ebcflex.com/WheretoShop" TargetMode="External"/><Relationship Id="rId12" Type="http://schemas.openxmlformats.org/officeDocument/2006/relationships/hyperlink" Target="http://www.ebcflex.com/eligibleexp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cflex.com/eligibleexpenses" TargetMode="External"/><Relationship Id="rId11" Type="http://schemas.openxmlformats.org/officeDocument/2006/relationships/hyperlink" Target="https://www.ebcflex.com/accountholderhsainvestmentoverview" TargetMode="External"/><Relationship Id="rId5" Type="http://schemas.openxmlformats.org/officeDocument/2006/relationships/image" Target="https://hs-21157487.f.hubspotemail.net/hub/21157487/hubfs/tax%20savings.png?width=494&amp;upscale=true&amp;name=tax%20savings.png" TargetMode="External"/><Relationship Id="rId15" Type="http://schemas.openxmlformats.org/officeDocument/2006/relationships/theme" Target="theme/theme1.xml"/><Relationship Id="rId10" Type="http://schemas.openxmlformats.org/officeDocument/2006/relationships/hyperlink" Target="https://www.ebcflex.com/highyieldhsa" TargetMode="External"/><Relationship Id="rId4" Type="http://schemas.openxmlformats.org/officeDocument/2006/relationships/webSettings" Target="webSettings.xml"/><Relationship Id="rId9" Type="http://schemas.openxmlformats.org/officeDocument/2006/relationships/hyperlink" Target="https://www.ebcflex.com/accountholderhsainvestment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42</cp:revision>
  <dcterms:created xsi:type="dcterms:W3CDTF">2021-08-02T19:44:00Z</dcterms:created>
  <dcterms:modified xsi:type="dcterms:W3CDTF">2024-10-29T21:28:00Z</dcterms:modified>
</cp:coreProperties>
</file>